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12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0903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43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230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 апреля 2024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 Нижневартовского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- Югры Янбаева Г.Х. (ХМАО - Югра, г. Покачи, </w:t>
      </w:r>
      <w:r>
        <w:rPr>
          <w:rFonts w:ascii="Times New Roman" w:eastAsia="Times New Roman" w:hAnsi="Times New Roman" w:cs="Times New Roman"/>
          <w:sz w:val="26"/>
          <w:szCs w:val="26"/>
        </w:rPr>
        <w:t>пер. Майский, дом № 2</w:t>
      </w:r>
      <w:r>
        <w:rPr>
          <w:rFonts w:ascii="Times New Roman" w:eastAsia="Times New Roman" w:hAnsi="Times New Roman" w:cs="Times New Roman"/>
          <w:sz w:val="26"/>
          <w:szCs w:val="26"/>
        </w:rPr>
        <w:t>),</w:t>
      </w: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Ильясова С.Я.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spacing w:before="0" w:after="0"/>
        <w:ind w:left="5" w:firstLine="715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дело об административном правонарушении в отношении директора общества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СПЕЦОПТ-ЮГРА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Ильясова </w:t>
      </w:r>
      <w:r>
        <w:rPr>
          <w:rFonts w:ascii="Times New Roman" w:eastAsia="Times New Roman" w:hAnsi="Times New Roman" w:cs="Times New Roman"/>
          <w:sz w:val="26"/>
          <w:szCs w:val="26"/>
        </w:rPr>
        <w:t>Сайдуллы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Якубовича </w:t>
      </w:r>
      <w:r>
        <w:rPr>
          <w:rStyle w:val="cat-PassportDatagrp-26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Style w:val="cat-PassportDatagrp-27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7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адресу: Ханты–Мансийский автономный округ – </w:t>
      </w:r>
      <w:r>
        <w:rPr>
          <w:rStyle w:val="cat-Addressgrp-5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ответственности за совершение правонарушения, предусмотренного ч. 1 ст. 15.6 Кодекса РФ об административных правонарушениях,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 </w:t>
      </w:r>
    </w:p>
    <w:p>
      <w:pPr>
        <w:widowControl w:val="0"/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widowControl w:val="0"/>
        <w:spacing w:before="0" w:after="0"/>
        <w:ind w:firstLine="709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Ильясов С.Я. </w:t>
      </w:r>
      <w:r>
        <w:rPr>
          <w:rFonts w:ascii="Times New Roman" w:eastAsia="Times New Roman" w:hAnsi="Times New Roman" w:cs="Times New Roman"/>
          <w:sz w:val="26"/>
          <w:szCs w:val="26"/>
        </w:rPr>
        <w:t>15 ноября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 – </w:t>
      </w:r>
      <w:r>
        <w:rPr>
          <w:rStyle w:val="cat-Addressgrp-6rplc-2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совершил правонарушение, предусмотренное ч. 1 ст. 15.6 Кодекса РФ об административных правонарушениях при следующих обстоятельствах.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Ильясов С.Я., являясь должностным лицом –директором 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СПЕЦОПТ-ЮГРА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нарушение требования МИФНС России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 № </w:t>
      </w:r>
      <w:r>
        <w:rPr>
          <w:rFonts w:ascii="Times New Roman" w:eastAsia="Times New Roman" w:hAnsi="Times New Roman" w:cs="Times New Roman"/>
          <w:sz w:val="26"/>
          <w:szCs w:val="26"/>
        </w:rPr>
        <w:t>3069-21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24 октября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 до </w:t>
      </w:r>
      <w:r>
        <w:rPr>
          <w:rFonts w:ascii="Times New Roman" w:eastAsia="Times New Roman" w:hAnsi="Times New Roman" w:cs="Times New Roman"/>
          <w:sz w:val="26"/>
          <w:szCs w:val="26"/>
        </w:rPr>
        <w:t>14 ноября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>не предоставил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налоговый орган документы и информацию </w:t>
      </w:r>
      <w:r>
        <w:rPr>
          <w:rFonts w:ascii="Times New Roman" w:eastAsia="Times New Roman" w:hAnsi="Times New Roman" w:cs="Times New Roman"/>
          <w:sz w:val="26"/>
          <w:szCs w:val="26"/>
        </w:rPr>
        <w:t>касающиеся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</w:t>
      </w:r>
      <w:r>
        <w:rPr>
          <w:rFonts w:ascii="Times New Roman" w:eastAsia="Times New Roman" w:hAnsi="Times New Roman" w:cs="Times New Roman"/>
          <w:sz w:val="26"/>
          <w:szCs w:val="26"/>
        </w:rPr>
        <w:t>САЙСТРОЙ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то есть, не представил в установленный законом срок документы и информацию, необходимую, для осуществления налогового контроля.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Ильясов С.Я. не явился, извещ</w:t>
      </w:r>
      <w:r>
        <w:rPr>
          <w:rFonts w:ascii="Times New Roman" w:eastAsia="Times New Roman" w:hAnsi="Times New Roman" w:cs="Times New Roman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 о времени и месте рассмотрения дела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ходатайство об отложении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дела: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8617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403600108600002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27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 изложенным в нем существом правонарушения;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-копию требования МИФНС России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3069-21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24 октября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предоставлении информации адресованную руководителю ООО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СПЕЦОПТ-ЮГРА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 сроком исполнения в течении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десяти </w:t>
      </w:r>
      <w:r>
        <w:rPr>
          <w:rFonts w:ascii="Times New Roman" w:eastAsia="Times New Roman" w:hAnsi="Times New Roman" w:cs="Times New Roman"/>
          <w:sz w:val="26"/>
          <w:szCs w:val="26"/>
        </w:rPr>
        <w:t>рабочих дней со дня получения;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-копию квитанции о приеме документа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-выписку из ЕГРЮЛ, содержащую сведения о юридическом лице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СПЕЦОПТ-ЮГРА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соответствии с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Ильясов С.Я.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является руководителем –директором указанного юридического лица;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приходит к следующему выводу.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Статьей 15.6 ч.1 КоАП РФ предусмотрена административная ответственность за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представление в налоговые органы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23, 31, п. 5 ст. 93.1 Налогового кодекса РФ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алогоплательщики обязаны </w:t>
      </w:r>
      <w:r>
        <w:rPr>
          <w:rFonts w:ascii="Times New Roman" w:eastAsia="Times New Roman" w:hAnsi="Times New Roman" w:cs="Times New Roman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sz w:val="26"/>
          <w:szCs w:val="26"/>
        </w:rPr>
        <w:t>дс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тавлять в налоговый орган по месту нахождения организации документов информации </w:t>
      </w:r>
      <w:r>
        <w:rPr>
          <w:rFonts w:ascii="Times New Roman" w:eastAsia="Times New Roman" w:hAnsi="Times New Roman" w:cs="Times New Roman"/>
          <w:sz w:val="26"/>
          <w:szCs w:val="26"/>
        </w:rPr>
        <w:t>необходимых для осуществления налогового контроля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 установлено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Ильясов С.Я.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как руководитель юридического лица, был обязан в срок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14 ноября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предоставить в МИФНС России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документы и информацию документы и информацию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касающиеся деятельности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СПЕЦОПТ-ЮГРА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которые были необходимы налоговому органу для осуществления налогового контроля.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этом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рок предоставления документов (информации) установлен п. 5 ст. 93.1 Налогового кодекса РФ,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ицо, получившее требование о представлении документов (информации) в соответствии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900200/entry/8301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пунктами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900200/entry/9312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настоящей статьи, исполняет его в течение десяти дней со дня получения или в тот же срок уведомляет, что не располагает </w:t>
      </w:r>
      <w:r>
        <w:rPr>
          <w:rFonts w:ascii="Times New Roman" w:eastAsia="Times New Roman" w:hAnsi="Times New Roman" w:cs="Times New Roman"/>
          <w:sz w:val="26"/>
          <w:szCs w:val="26"/>
        </w:rPr>
        <w:t>истребуемыми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документами (информацией).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Ильясов С.Я.,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как руководитель юридического лица, получившего законное требование налогового органа о предоставлении документов (информации), не выполнил требование закона и не представил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Межрайонную ИФНС России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документы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касающиеся деятельности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САЙСТРОЙ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требованию МИФНС России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 № </w:t>
      </w:r>
      <w:r>
        <w:rPr>
          <w:rFonts w:ascii="Times New Roman" w:eastAsia="Times New Roman" w:hAnsi="Times New Roman" w:cs="Times New Roman"/>
          <w:sz w:val="26"/>
          <w:szCs w:val="26"/>
        </w:rPr>
        <w:t>3069-21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24 октября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ценивая доказательства, которые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противоречивы, последовательны и соответствуют кр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итерию допустимости, </w:t>
      </w:r>
      <w:r>
        <w:rPr>
          <w:rFonts w:ascii="Times New Roman" w:eastAsia="Times New Roman" w:hAnsi="Times New Roman" w:cs="Times New Roman"/>
          <w:sz w:val="26"/>
          <w:szCs w:val="26"/>
        </w:rPr>
        <w:t>в их совокупности, мировой судья считает,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Ильясова С.Я.,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содержится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состав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ч. 1 ст. 15.6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РФ об административных правонарушениях: непредставление в установленный законодательством о налогах и сборах срок оформленных в установленном порядке документов и (или) иных сведений, необходимых для осуществления налогового контроля, за исключением случаев, пре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дусмотренных частью 2 ст. 15.6 КоАП РФ.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вина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установлена в судебном заседании, 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ействия правильно квалифицированы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15.6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мировой судья, учитывая характер совершенного правонарушения, данные о личности Ильясова С.Я., отсутствие обстоятельств смягчающих административную ответственность, предусмотренных ч. 1 ст. 4.2 КоАП РФ, наличие обстоятельства, отягчающего административную ответственность предусмотренного ст. 4.3 КоАП РФ - повторное неоднократное совершение </w:t>
      </w:r>
      <w:hyperlink r:id="rId5" w:anchor="/document/12139487/entry/16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года за правонарушения в области финансов, налогов и сборов, приходит </w:t>
      </w:r>
      <w:r>
        <w:rPr>
          <w:rFonts w:ascii="Times New Roman" w:eastAsia="Times New Roman" w:hAnsi="Times New Roman" w:cs="Times New Roman"/>
          <w:sz w:val="26"/>
          <w:szCs w:val="26"/>
        </w:rPr>
        <w:t>к выводу о назначении ему наказания в виде административного штрафа в максимальном размере, предусмотренном санкцией ч. 1 ст. 15.6 КоАП РФ, для должностных лиц.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29.9-29.10 Кодекса РФ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судья,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Ильясова </w:t>
      </w:r>
      <w:r>
        <w:rPr>
          <w:rFonts w:ascii="Times New Roman" w:eastAsia="Times New Roman" w:hAnsi="Times New Roman" w:cs="Times New Roman"/>
          <w:sz w:val="26"/>
          <w:szCs w:val="26"/>
        </w:rPr>
        <w:t>Сайдуллу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Якубовича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часть 1 статьи </w:t>
      </w:r>
      <w:r>
        <w:rPr>
          <w:rFonts w:ascii="Times New Roman" w:eastAsia="Times New Roman" w:hAnsi="Times New Roman" w:cs="Times New Roman"/>
          <w:sz w:val="26"/>
          <w:szCs w:val="26"/>
        </w:rPr>
        <w:t>15.6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РФ об административных правонарушениях,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подвергнуть административному наказанию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четыреста</w:t>
      </w:r>
      <w:r>
        <w:rPr>
          <w:rFonts w:ascii="Times New Roman" w:eastAsia="Times New Roman" w:hAnsi="Times New Roman" w:cs="Times New Roman"/>
          <w:sz w:val="26"/>
          <w:szCs w:val="26"/>
        </w:rPr>
        <w:t>) руб</w:t>
      </w:r>
      <w:r>
        <w:rPr>
          <w:rFonts w:ascii="Times New Roman" w:eastAsia="Times New Roman" w:hAnsi="Times New Roman" w:cs="Times New Roman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 коп</w:t>
      </w:r>
      <w:r>
        <w:rPr>
          <w:rFonts w:ascii="Times New Roman" w:eastAsia="Times New Roman" w:hAnsi="Times New Roman" w:cs="Times New Roman"/>
          <w:sz w:val="26"/>
          <w:szCs w:val="26"/>
        </w:rPr>
        <w:t>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доход соответствующего бюджета.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0412365400235002302415115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72</w:t>
      </w:r>
      <w:r>
        <w:rPr>
          <w:rFonts w:ascii="Times New Roman" w:eastAsia="Times New Roman" w:hAnsi="Times New Roman" w:cs="Times New Roman"/>
          <w:sz w:val="26"/>
          <w:szCs w:val="26"/>
        </w:rPr>
        <w:t>011601153010006140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0412365400235002302415115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</w:t>
      </w:r>
      <w:r>
        <w:rPr>
          <w:rFonts w:ascii="Times New Roman" w:eastAsia="Times New Roman" w:hAnsi="Times New Roman" w:cs="Times New Roman"/>
          <w:sz w:val="26"/>
          <w:szCs w:val="26"/>
        </w:rPr>
        <w:t>011601153010006140);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230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-2301/2023 от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копеек).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widowControl w:val="0"/>
        <w:spacing w:before="0" w:after="0"/>
        <w:ind w:firstLine="540"/>
        <w:jc w:val="both"/>
        <w:rPr>
          <w:sz w:val="18"/>
          <w:szCs w:val="18"/>
        </w:rPr>
      </w:pPr>
    </w:p>
    <w:p>
      <w:pPr>
        <w:widowControl w:val="0"/>
        <w:spacing w:before="0" w:after="0"/>
        <w:ind w:firstLine="540"/>
        <w:jc w:val="both"/>
        <w:rPr>
          <w:sz w:val="18"/>
          <w:szCs w:val="18"/>
        </w:rPr>
      </w:pPr>
    </w:p>
    <w:p>
      <w:pPr>
        <w:widowControl w:val="0"/>
        <w:spacing w:before="0" w:after="0"/>
        <w:ind w:firstLine="540"/>
        <w:jc w:val="both"/>
        <w:rPr>
          <w:sz w:val="18"/>
          <w:szCs w:val="18"/>
        </w:rPr>
      </w:pPr>
    </w:p>
    <w:p>
      <w:pPr>
        <w:widowControl w:val="0"/>
        <w:spacing w:before="0" w:after="0"/>
        <w:ind w:firstLine="540"/>
        <w:jc w:val="both"/>
        <w:rPr>
          <w:sz w:val="18"/>
          <w:szCs w:val="18"/>
        </w:rPr>
      </w:pPr>
    </w:p>
    <w:p>
      <w:pPr>
        <w:widowControl w:val="0"/>
        <w:spacing w:before="0" w:after="0"/>
        <w:ind w:firstLine="540"/>
        <w:jc w:val="both"/>
        <w:rPr>
          <w:sz w:val="18"/>
          <w:szCs w:val="18"/>
        </w:rPr>
      </w:pPr>
    </w:p>
    <w:p>
      <w:pPr>
        <w:widowControl w:val="0"/>
        <w:spacing w:before="0" w:after="0"/>
        <w:ind w:firstLine="540"/>
        <w:jc w:val="both"/>
        <w:rPr>
          <w:sz w:val="18"/>
          <w:szCs w:val="18"/>
        </w:rPr>
      </w:pPr>
    </w:p>
    <w:p>
      <w:pPr>
        <w:widowControl w:val="0"/>
        <w:spacing w:before="0" w:after="0"/>
        <w:ind w:firstLine="540"/>
        <w:jc w:val="both"/>
        <w:rPr>
          <w:sz w:val="18"/>
          <w:szCs w:val="18"/>
        </w:rPr>
      </w:pPr>
    </w:p>
    <w:p>
      <w:pPr>
        <w:widowControl w:val="0"/>
        <w:spacing w:before="0" w:after="0"/>
        <w:ind w:firstLine="540"/>
        <w:jc w:val="both"/>
        <w:rPr>
          <w:sz w:val="18"/>
          <w:szCs w:val="18"/>
        </w:rPr>
      </w:pPr>
    </w:p>
    <w:p>
      <w:pPr>
        <w:widowControl w:val="0"/>
        <w:spacing w:before="0" w:after="0"/>
        <w:ind w:firstLine="540"/>
        <w:jc w:val="both"/>
        <w:rPr>
          <w:sz w:val="18"/>
          <w:szCs w:val="18"/>
        </w:rPr>
      </w:pPr>
    </w:p>
    <w:p>
      <w:pPr>
        <w:widowControl w:val="0"/>
        <w:spacing w:before="0" w:after="0"/>
        <w:ind w:firstLine="540"/>
        <w:jc w:val="both"/>
        <w:rPr>
          <w:sz w:val="18"/>
          <w:szCs w:val="18"/>
        </w:rPr>
      </w:pPr>
    </w:p>
    <w:p>
      <w:pPr>
        <w:widowControl w:val="0"/>
        <w:spacing w:before="0" w:after="0"/>
        <w:rPr>
          <w:sz w:val="20"/>
          <w:szCs w:val="20"/>
        </w:rPr>
      </w:pPr>
    </w:p>
    <w:p>
      <w:pPr>
        <w:widowControl w:val="0"/>
        <w:spacing w:before="0" w:after="0"/>
        <w:rPr>
          <w:sz w:val="20"/>
          <w:szCs w:val="20"/>
        </w:rPr>
      </w:pP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</w:t>
      </w:r>
      <w:r>
        <w:rPr>
          <w:rFonts w:ascii="Times New Roman" w:eastAsia="Times New Roman" w:hAnsi="Times New Roman" w:cs="Times New Roman"/>
          <w:sz w:val="16"/>
          <w:szCs w:val="16"/>
        </w:rPr>
        <w:t>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230</w:t>
      </w:r>
      <w:r>
        <w:rPr>
          <w:rFonts w:ascii="Times New Roman" w:eastAsia="Times New Roman" w:hAnsi="Times New Roman" w:cs="Times New Roman"/>
          <w:sz w:val="16"/>
          <w:szCs w:val="16"/>
        </w:rPr>
        <w:t>-2301/2023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0"/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6rplc-10">
    <w:name w:val="cat-PassportData grp-26 rplc-10"/>
    <w:basedOn w:val="DefaultParagraphFont"/>
  </w:style>
  <w:style w:type="character" w:customStyle="1" w:styleId="cat-PassportDatagrp-27rplc-11">
    <w:name w:val="cat-PassportData grp-27 rplc-11"/>
    <w:basedOn w:val="DefaultParagraphFont"/>
  </w:style>
  <w:style w:type="character" w:customStyle="1" w:styleId="cat-ExternalSystemDefinedgrp-37rplc-12">
    <w:name w:val="cat-ExternalSystemDefined grp-37 rplc-12"/>
    <w:basedOn w:val="DefaultParagraphFont"/>
  </w:style>
  <w:style w:type="character" w:customStyle="1" w:styleId="cat-UserDefinedgrp-38rplc-13">
    <w:name w:val="cat-UserDefined grp-38 rplc-13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6rplc-21">
    <w:name w:val="cat-Address grp-6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